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D8CF" w14:textId="04E9D7AC" w:rsidR="009454E4" w:rsidRDefault="00841A9D">
      <w:pPr>
        <w:rPr>
          <w:rFonts w:ascii="Arial" w:eastAsia="Arial" w:hAnsi="Arial" w:cs="Arial"/>
          <w:b/>
          <w:sz w:val="36"/>
          <w:szCs w:val="36"/>
        </w:rPr>
      </w:pPr>
      <w:r>
        <w:rPr>
          <w:noProof/>
        </w:rPr>
        <w:drawing>
          <wp:anchor distT="0" distB="0" distL="114300" distR="114300" simplePos="0" relativeHeight="251658240" behindDoc="0" locked="0" layoutInCell="1" hidden="0" allowOverlap="1" wp14:anchorId="1DDAEA48" wp14:editId="0E7ADB0E">
            <wp:simplePos x="0" y="0"/>
            <wp:positionH relativeFrom="margin">
              <wp:align>right</wp:align>
            </wp:positionH>
            <wp:positionV relativeFrom="paragraph">
              <wp:posOffset>-254635</wp:posOffset>
            </wp:positionV>
            <wp:extent cx="3558540" cy="617220"/>
            <wp:effectExtent l="0" t="0" r="3810" b="0"/>
            <wp:wrapNone/>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558540" cy="617220"/>
                    </a:xfrm>
                    <a:prstGeom prst="rect">
                      <a:avLst/>
                    </a:prstGeom>
                    <a:ln/>
                  </pic:spPr>
                </pic:pic>
              </a:graphicData>
            </a:graphic>
            <wp14:sizeRelH relativeFrom="margin">
              <wp14:pctWidth>0</wp14:pctWidth>
            </wp14:sizeRelH>
            <wp14:sizeRelV relativeFrom="margin">
              <wp14:pctHeight>0</wp14:pctHeight>
            </wp14:sizeRelV>
          </wp:anchor>
        </w:drawing>
      </w:r>
      <w:r w:rsidR="00487319">
        <w:rPr>
          <w:rFonts w:ascii="Arial" w:eastAsia="Arial" w:hAnsi="Arial" w:cs="Arial"/>
          <w:b/>
          <w:sz w:val="36"/>
          <w:szCs w:val="36"/>
        </w:rPr>
        <w:t>Cycle User Guidance Form</w:t>
      </w:r>
    </w:p>
    <w:p w14:paraId="63843F95" w14:textId="1359FF7F" w:rsidR="009454E4" w:rsidRPr="00345778" w:rsidRDefault="00487319">
      <w:pPr>
        <w:jc w:val="both"/>
        <w:rPr>
          <w:rFonts w:ascii="Arial" w:eastAsia="Arial" w:hAnsi="Arial" w:cs="Arial"/>
          <w:b/>
        </w:rPr>
      </w:pPr>
      <w:r>
        <w:rPr>
          <w:rFonts w:ascii="Arial" w:eastAsia="Arial" w:hAnsi="Arial" w:cs="Arial"/>
        </w:rPr>
        <w:t>Please see the below guidelines for usage of these specialised bikes.  Please familiarise yourself with the info for the cycle you intend to use in order to get maximum enjoyment and safety from the experience.</w:t>
      </w:r>
      <w:r w:rsidR="00B53C04">
        <w:rPr>
          <w:rFonts w:ascii="Arial" w:eastAsia="Arial" w:hAnsi="Arial" w:cs="Arial"/>
        </w:rPr>
        <w:t xml:space="preserve"> </w:t>
      </w:r>
      <w:r w:rsidR="009F5D68">
        <w:rPr>
          <w:rFonts w:ascii="Arial" w:eastAsia="Arial" w:hAnsi="Arial" w:cs="Arial"/>
        </w:rPr>
        <w:t>If in any doubt or you are using the</w:t>
      </w:r>
      <w:r w:rsidR="000B56A0">
        <w:rPr>
          <w:rFonts w:ascii="Arial" w:eastAsia="Arial" w:hAnsi="Arial" w:cs="Arial"/>
        </w:rPr>
        <w:t xml:space="preserve"> item of equipment for the first time as</w:t>
      </w:r>
      <w:r w:rsidR="000F3A54">
        <w:rPr>
          <w:rFonts w:ascii="Arial" w:eastAsia="Arial" w:hAnsi="Arial" w:cs="Arial"/>
        </w:rPr>
        <w:t>k</w:t>
      </w:r>
      <w:r w:rsidR="000B56A0">
        <w:rPr>
          <w:rFonts w:ascii="Arial" w:eastAsia="Arial" w:hAnsi="Arial" w:cs="Arial"/>
        </w:rPr>
        <w:t xml:space="preserve"> a member of staff for assistance.</w:t>
      </w:r>
      <w:r w:rsidR="00C53ABA">
        <w:rPr>
          <w:rFonts w:ascii="Arial" w:eastAsia="Arial" w:hAnsi="Arial" w:cs="Arial"/>
        </w:rPr>
        <w:t xml:space="preserve"> </w:t>
      </w:r>
    </w:p>
    <w:tbl>
      <w:tblPr>
        <w:tblStyle w:val="a"/>
        <w:tblW w:w="10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6"/>
        <w:gridCol w:w="7130"/>
      </w:tblGrid>
      <w:tr w:rsidR="009454E4" w14:paraId="36C94A80" w14:textId="77777777">
        <w:trPr>
          <w:trHeight w:val="2300"/>
        </w:trPr>
        <w:tc>
          <w:tcPr>
            <w:tcW w:w="3306" w:type="dxa"/>
            <w:tcBorders>
              <w:top w:val="single" w:sz="12" w:space="0" w:color="000000"/>
              <w:left w:val="single" w:sz="12" w:space="0" w:color="000000"/>
              <w:bottom w:val="single" w:sz="12" w:space="0" w:color="000000"/>
              <w:right w:val="single" w:sz="12" w:space="0" w:color="000000"/>
            </w:tcBorders>
          </w:tcPr>
          <w:p w14:paraId="638834C8" w14:textId="77777777" w:rsidR="009454E4" w:rsidRDefault="00487319">
            <w:pPr>
              <w:jc w:val="center"/>
              <w:rPr>
                <w:rFonts w:ascii="Arial" w:eastAsia="Arial" w:hAnsi="Arial" w:cs="Arial"/>
              </w:rPr>
            </w:pPr>
            <w:r>
              <w:rPr>
                <w:rFonts w:ascii="Arial" w:eastAsia="Arial" w:hAnsi="Arial" w:cs="Arial"/>
              </w:rPr>
              <w:t>Tandem Bike</w:t>
            </w:r>
            <w:r>
              <w:rPr>
                <w:noProof/>
              </w:rPr>
              <w:drawing>
                <wp:anchor distT="0" distB="0" distL="114300" distR="114300" simplePos="0" relativeHeight="251659264" behindDoc="0" locked="0" layoutInCell="1" hidden="0" allowOverlap="1" wp14:anchorId="320F6D4B" wp14:editId="14E097D0">
                  <wp:simplePos x="0" y="0"/>
                  <wp:positionH relativeFrom="column">
                    <wp:posOffset>76201</wp:posOffset>
                  </wp:positionH>
                  <wp:positionV relativeFrom="paragraph">
                    <wp:posOffset>214630</wp:posOffset>
                  </wp:positionV>
                  <wp:extent cx="1807210" cy="1179830"/>
                  <wp:effectExtent l="0" t="0" r="0" b="0"/>
                  <wp:wrapNone/>
                  <wp:docPr id="5" name="image3.jpg" descr="C:\Users\Steven\Pictures\download...jpg"/>
                  <wp:cNvGraphicFramePr/>
                  <a:graphic xmlns:a="http://schemas.openxmlformats.org/drawingml/2006/main">
                    <a:graphicData uri="http://schemas.openxmlformats.org/drawingml/2006/picture">
                      <pic:pic xmlns:pic="http://schemas.openxmlformats.org/drawingml/2006/picture">
                        <pic:nvPicPr>
                          <pic:cNvPr id="0" name="image3.jpg" descr="C:\Users\Steven\Pictures\download...jpg"/>
                          <pic:cNvPicPr preferRelativeResize="0"/>
                        </pic:nvPicPr>
                        <pic:blipFill>
                          <a:blip r:embed="rId8"/>
                          <a:srcRect/>
                          <a:stretch>
                            <a:fillRect/>
                          </a:stretch>
                        </pic:blipFill>
                        <pic:spPr>
                          <a:xfrm>
                            <a:off x="0" y="0"/>
                            <a:ext cx="1807210" cy="1179830"/>
                          </a:xfrm>
                          <a:prstGeom prst="rect">
                            <a:avLst/>
                          </a:prstGeom>
                          <a:ln/>
                        </pic:spPr>
                      </pic:pic>
                    </a:graphicData>
                  </a:graphic>
                </wp:anchor>
              </w:drawing>
            </w:r>
          </w:p>
        </w:tc>
        <w:tc>
          <w:tcPr>
            <w:tcW w:w="7130" w:type="dxa"/>
            <w:tcBorders>
              <w:top w:val="single" w:sz="12" w:space="0" w:color="000000"/>
              <w:left w:val="single" w:sz="12" w:space="0" w:color="000000"/>
              <w:bottom w:val="single" w:sz="12" w:space="0" w:color="000000"/>
              <w:right w:val="single" w:sz="12" w:space="0" w:color="000000"/>
            </w:tcBorders>
          </w:tcPr>
          <w:p w14:paraId="7B5DCDF2" w14:textId="77777777" w:rsidR="009454E4" w:rsidRDefault="009454E4">
            <w:pPr>
              <w:jc w:val="both"/>
              <w:rPr>
                <w:rFonts w:ascii="Arial" w:eastAsia="Arial" w:hAnsi="Arial" w:cs="Arial"/>
              </w:rPr>
            </w:pPr>
          </w:p>
          <w:p w14:paraId="58B2AF54" w14:textId="77777777" w:rsidR="009454E4" w:rsidRDefault="00487319">
            <w:pPr>
              <w:jc w:val="both"/>
              <w:rPr>
                <w:rFonts w:ascii="Arial" w:eastAsia="Arial" w:hAnsi="Arial" w:cs="Arial"/>
              </w:rPr>
            </w:pPr>
            <w:r>
              <w:rPr>
                <w:rFonts w:ascii="Arial" w:eastAsia="Arial" w:hAnsi="Arial" w:cs="Arial"/>
              </w:rPr>
              <w:t>• Communication between pilot (front seat) &amp; Stoker (back seat) is crucial for safe cycling.  Whoever sits at front must be a confident cyclist.</w:t>
            </w:r>
          </w:p>
          <w:p w14:paraId="5924D4D4" w14:textId="77777777" w:rsidR="00E23058" w:rsidRDefault="00E23058">
            <w:pPr>
              <w:jc w:val="both"/>
              <w:rPr>
                <w:rFonts w:ascii="Arial" w:eastAsia="Arial" w:hAnsi="Arial" w:cs="Arial"/>
              </w:rPr>
            </w:pPr>
          </w:p>
          <w:p w14:paraId="59FD1171" w14:textId="77777777" w:rsidR="009454E4" w:rsidRDefault="00487319">
            <w:pPr>
              <w:jc w:val="both"/>
              <w:rPr>
                <w:rFonts w:ascii="Arial" w:eastAsia="Arial" w:hAnsi="Arial" w:cs="Arial"/>
              </w:rPr>
            </w:pPr>
            <w:r>
              <w:rPr>
                <w:rFonts w:ascii="Arial" w:eastAsia="Arial" w:hAnsi="Arial" w:cs="Arial"/>
              </w:rPr>
              <w:t>• The pilot should hold the brakes firmly when stoker is getting on the bike.</w:t>
            </w:r>
          </w:p>
          <w:p w14:paraId="7505A733" w14:textId="77777777" w:rsidR="00E23058" w:rsidRDefault="00E23058">
            <w:pPr>
              <w:jc w:val="both"/>
              <w:rPr>
                <w:rFonts w:ascii="Arial" w:eastAsia="Arial" w:hAnsi="Arial" w:cs="Arial"/>
              </w:rPr>
            </w:pPr>
          </w:p>
          <w:p w14:paraId="5C92F36A" w14:textId="77777777" w:rsidR="009454E4" w:rsidRDefault="00487319">
            <w:pPr>
              <w:jc w:val="both"/>
              <w:rPr>
                <w:rFonts w:ascii="Arial" w:eastAsia="Arial" w:hAnsi="Arial" w:cs="Arial"/>
              </w:rPr>
            </w:pPr>
            <w:r>
              <w:rPr>
                <w:rFonts w:ascii="Arial" w:eastAsia="Arial" w:hAnsi="Arial" w:cs="Arial"/>
              </w:rPr>
              <w:t>• The pilot must not stop pedalling suddenly without telling the stoker as knees may be jarred.</w:t>
            </w:r>
          </w:p>
          <w:p w14:paraId="74EC35BA" w14:textId="77777777" w:rsidR="00E23058" w:rsidRDefault="00E23058">
            <w:pPr>
              <w:jc w:val="both"/>
              <w:rPr>
                <w:rFonts w:ascii="Arial" w:eastAsia="Arial" w:hAnsi="Arial" w:cs="Arial"/>
              </w:rPr>
            </w:pPr>
          </w:p>
          <w:p w14:paraId="0C9121C5" w14:textId="77777777" w:rsidR="009454E4" w:rsidRDefault="00487319">
            <w:pPr>
              <w:jc w:val="both"/>
              <w:rPr>
                <w:rFonts w:ascii="Arial" w:eastAsia="Arial" w:hAnsi="Arial" w:cs="Arial"/>
              </w:rPr>
            </w:pPr>
            <w:r>
              <w:rPr>
                <w:rFonts w:ascii="Arial" w:eastAsia="Arial" w:hAnsi="Arial" w:cs="Arial"/>
              </w:rPr>
              <w:t>• Dialogue and communication is key to safe tandem cycling.</w:t>
            </w:r>
          </w:p>
        </w:tc>
      </w:tr>
      <w:tr w:rsidR="009454E4" w14:paraId="14DA6AA6" w14:textId="77777777">
        <w:trPr>
          <w:trHeight w:val="2220"/>
        </w:trPr>
        <w:tc>
          <w:tcPr>
            <w:tcW w:w="3306" w:type="dxa"/>
            <w:tcBorders>
              <w:top w:val="single" w:sz="12" w:space="0" w:color="000000"/>
              <w:left w:val="single" w:sz="12" w:space="0" w:color="000000"/>
              <w:bottom w:val="single" w:sz="12" w:space="0" w:color="000000"/>
              <w:right w:val="single" w:sz="12" w:space="0" w:color="000000"/>
            </w:tcBorders>
          </w:tcPr>
          <w:p w14:paraId="633BD25C" w14:textId="77777777" w:rsidR="009454E4" w:rsidRDefault="00487319">
            <w:pPr>
              <w:jc w:val="center"/>
              <w:rPr>
                <w:rFonts w:ascii="Arial" w:eastAsia="Arial" w:hAnsi="Arial" w:cs="Arial"/>
              </w:rPr>
            </w:pPr>
            <w:bookmarkStart w:id="0" w:name="_gjdgxs" w:colFirst="0" w:colLast="0"/>
            <w:bookmarkEnd w:id="0"/>
            <w:r>
              <w:rPr>
                <w:rFonts w:ascii="Arial" w:eastAsia="Arial" w:hAnsi="Arial" w:cs="Arial"/>
              </w:rPr>
              <w:t>Hand Cycle</w:t>
            </w:r>
            <w:r>
              <w:rPr>
                <w:noProof/>
              </w:rPr>
              <w:drawing>
                <wp:anchor distT="0" distB="0" distL="114300" distR="114300" simplePos="0" relativeHeight="251660288" behindDoc="0" locked="0" layoutInCell="1" hidden="0" allowOverlap="1" wp14:anchorId="072CB792" wp14:editId="598B0792">
                  <wp:simplePos x="0" y="0"/>
                  <wp:positionH relativeFrom="column">
                    <wp:posOffset>323850</wp:posOffset>
                  </wp:positionH>
                  <wp:positionV relativeFrom="paragraph">
                    <wp:posOffset>193040</wp:posOffset>
                  </wp:positionV>
                  <wp:extent cx="1223010" cy="1188085"/>
                  <wp:effectExtent l="0" t="0" r="0" b="0"/>
                  <wp:wrapNone/>
                  <wp:docPr id="3" name="image8.jpg" descr="C:\Users\Jason\AppData\Local\Microsoft\Windows\INetCache\Content.Word\hand cycel.jpg"/>
                  <wp:cNvGraphicFramePr/>
                  <a:graphic xmlns:a="http://schemas.openxmlformats.org/drawingml/2006/main">
                    <a:graphicData uri="http://schemas.openxmlformats.org/drawingml/2006/picture">
                      <pic:pic xmlns:pic="http://schemas.openxmlformats.org/drawingml/2006/picture">
                        <pic:nvPicPr>
                          <pic:cNvPr id="0" name="image8.jpg" descr="C:\Users\Jason\AppData\Local\Microsoft\Windows\INetCache\Content.Word\hand cycel.jpg"/>
                          <pic:cNvPicPr preferRelativeResize="0"/>
                        </pic:nvPicPr>
                        <pic:blipFill>
                          <a:blip r:embed="rId9"/>
                          <a:srcRect b="2855"/>
                          <a:stretch>
                            <a:fillRect/>
                          </a:stretch>
                        </pic:blipFill>
                        <pic:spPr>
                          <a:xfrm>
                            <a:off x="0" y="0"/>
                            <a:ext cx="1223010" cy="1188085"/>
                          </a:xfrm>
                          <a:prstGeom prst="rect">
                            <a:avLst/>
                          </a:prstGeom>
                          <a:ln/>
                        </pic:spPr>
                      </pic:pic>
                    </a:graphicData>
                  </a:graphic>
                </wp:anchor>
              </w:drawing>
            </w:r>
          </w:p>
        </w:tc>
        <w:tc>
          <w:tcPr>
            <w:tcW w:w="7130" w:type="dxa"/>
            <w:tcBorders>
              <w:top w:val="single" w:sz="12" w:space="0" w:color="000000"/>
              <w:left w:val="single" w:sz="12" w:space="0" w:color="000000"/>
              <w:bottom w:val="single" w:sz="12" w:space="0" w:color="000000"/>
              <w:right w:val="single" w:sz="12" w:space="0" w:color="000000"/>
            </w:tcBorders>
          </w:tcPr>
          <w:p w14:paraId="090206AA" w14:textId="77777777" w:rsidR="009454E4" w:rsidRDefault="009454E4">
            <w:pPr>
              <w:jc w:val="both"/>
              <w:rPr>
                <w:rFonts w:ascii="Arial" w:eastAsia="Arial" w:hAnsi="Arial" w:cs="Arial"/>
              </w:rPr>
            </w:pPr>
          </w:p>
          <w:p w14:paraId="2DC6692C" w14:textId="77777777" w:rsidR="009454E4" w:rsidRDefault="00487319">
            <w:pPr>
              <w:jc w:val="both"/>
              <w:rPr>
                <w:rFonts w:ascii="Arial" w:eastAsia="Arial" w:hAnsi="Arial" w:cs="Arial"/>
              </w:rPr>
            </w:pPr>
            <w:r>
              <w:rPr>
                <w:rFonts w:ascii="Arial" w:eastAsia="Arial" w:hAnsi="Arial" w:cs="Arial"/>
              </w:rPr>
              <w:t xml:space="preserve">• The main hazard around the hand cycle is the high position of the chain and chain rings.  Be careful with loose clothing such as scarves/ties etc. </w:t>
            </w:r>
          </w:p>
          <w:p w14:paraId="24D6177C" w14:textId="77777777" w:rsidR="00E23058" w:rsidRDefault="00E23058">
            <w:pPr>
              <w:jc w:val="both"/>
              <w:rPr>
                <w:rFonts w:ascii="Arial" w:eastAsia="Arial" w:hAnsi="Arial" w:cs="Arial"/>
              </w:rPr>
            </w:pPr>
          </w:p>
          <w:p w14:paraId="2FBD866A" w14:textId="77777777" w:rsidR="009454E4" w:rsidRDefault="00487319">
            <w:pPr>
              <w:jc w:val="both"/>
              <w:rPr>
                <w:rFonts w:ascii="Arial" w:eastAsia="Arial" w:hAnsi="Arial" w:cs="Arial"/>
              </w:rPr>
            </w:pPr>
            <w:r>
              <w:rPr>
                <w:rFonts w:ascii="Arial" w:eastAsia="Arial" w:hAnsi="Arial" w:cs="Arial"/>
              </w:rPr>
              <w:t>• Stability is key when using this bike – any three wheeler if used recklessly can tip – be careful turning corners at speed.</w:t>
            </w:r>
          </w:p>
        </w:tc>
      </w:tr>
      <w:tr w:rsidR="009454E4" w14:paraId="1070D125" w14:textId="77777777">
        <w:trPr>
          <w:trHeight w:val="2460"/>
        </w:trPr>
        <w:tc>
          <w:tcPr>
            <w:tcW w:w="3306" w:type="dxa"/>
            <w:tcBorders>
              <w:top w:val="single" w:sz="12" w:space="0" w:color="000000"/>
              <w:left w:val="single" w:sz="12" w:space="0" w:color="000000"/>
              <w:bottom w:val="single" w:sz="12" w:space="0" w:color="000000"/>
              <w:right w:val="single" w:sz="12" w:space="0" w:color="000000"/>
            </w:tcBorders>
          </w:tcPr>
          <w:p w14:paraId="1A3A297D" w14:textId="77777777" w:rsidR="009454E4" w:rsidRDefault="00487319">
            <w:pPr>
              <w:jc w:val="center"/>
              <w:rPr>
                <w:rFonts w:ascii="Arial" w:eastAsia="Arial" w:hAnsi="Arial" w:cs="Arial"/>
              </w:rPr>
            </w:pPr>
            <w:r>
              <w:rPr>
                <w:rFonts w:ascii="Arial" w:eastAsia="Arial" w:hAnsi="Arial" w:cs="Arial"/>
              </w:rPr>
              <w:t>Trike Cycle</w:t>
            </w:r>
          </w:p>
          <w:p w14:paraId="44566951" w14:textId="77777777" w:rsidR="009454E4" w:rsidRDefault="00487319">
            <w:pPr>
              <w:jc w:val="center"/>
              <w:rPr>
                <w:rFonts w:ascii="Arial" w:eastAsia="Arial" w:hAnsi="Arial" w:cs="Arial"/>
              </w:rPr>
            </w:pPr>
            <w:r>
              <w:rPr>
                <w:noProof/>
              </w:rPr>
              <w:drawing>
                <wp:anchor distT="0" distB="0" distL="114300" distR="114300" simplePos="0" relativeHeight="251661312" behindDoc="0" locked="0" layoutInCell="1" hidden="0" allowOverlap="1" wp14:anchorId="45AE5A55" wp14:editId="4CCC571B">
                  <wp:simplePos x="0" y="0"/>
                  <wp:positionH relativeFrom="column">
                    <wp:posOffset>1</wp:posOffset>
                  </wp:positionH>
                  <wp:positionV relativeFrom="paragraph">
                    <wp:posOffset>168275</wp:posOffset>
                  </wp:positionV>
                  <wp:extent cx="1955800" cy="1169035"/>
                  <wp:effectExtent l="0" t="0" r="0" b="0"/>
                  <wp:wrapSquare wrapText="bothSides" distT="0" distB="0" distL="114300" distR="11430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1955800" cy="1169035"/>
                          </a:xfrm>
                          <a:prstGeom prst="rect">
                            <a:avLst/>
                          </a:prstGeom>
                          <a:ln/>
                        </pic:spPr>
                      </pic:pic>
                    </a:graphicData>
                  </a:graphic>
                </wp:anchor>
              </w:drawing>
            </w:r>
          </w:p>
        </w:tc>
        <w:tc>
          <w:tcPr>
            <w:tcW w:w="7130" w:type="dxa"/>
            <w:tcBorders>
              <w:top w:val="single" w:sz="12" w:space="0" w:color="000000"/>
              <w:left w:val="single" w:sz="12" w:space="0" w:color="000000"/>
              <w:bottom w:val="single" w:sz="12" w:space="0" w:color="000000"/>
              <w:right w:val="single" w:sz="12" w:space="0" w:color="000000"/>
            </w:tcBorders>
          </w:tcPr>
          <w:p w14:paraId="42131826" w14:textId="77777777" w:rsidR="009454E4" w:rsidRDefault="009454E4">
            <w:pPr>
              <w:jc w:val="both"/>
              <w:rPr>
                <w:rFonts w:ascii="Arial" w:eastAsia="Arial" w:hAnsi="Arial" w:cs="Arial"/>
              </w:rPr>
            </w:pPr>
          </w:p>
          <w:p w14:paraId="71924DD5" w14:textId="77777777" w:rsidR="009454E4" w:rsidRDefault="00487319">
            <w:pPr>
              <w:jc w:val="both"/>
              <w:rPr>
                <w:rFonts w:ascii="Arial" w:eastAsia="Arial" w:hAnsi="Arial" w:cs="Arial"/>
              </w:rPr>
            </w:pPr>
            <w:r>
              <w:rPr>
                <w:rFonts w:ascii="Arial" w:eastAsia="Arial" w:hAnsi="Arial" w:cs="Arial"/>
              </w:rPr>
              <w:t xml:space="preserve">• Stability is key when using this bike – any three wheeler if used recklessly can tip – be careful turning corners etc! </w:t>
            </w:r>
          </w:p>
          <w:p w14:paraId="444FADB7" w14:textId="77777777" w:rsidR="00E23058" w:rsidRDefault="00E23058">
            <w:pPr>
              <w:jc w:val="both"/>
              <w:rPr>
                <w:rFonts w:ascii="Arial" w:eastAsia="Arial" w:hAnsi="Arial" w:cs="Arial"/>
              </w:rPr>
            </w:pPr>
          </w:p>
          <w:p w14:paraId="14C0D107" w14:textId="77777777" w:rsidR="009454E4" w:rsidRDefault="00487319">
            <w:pPr>
              <w:jc w:val="both"/>
              <w:rPr>
                <w:rFonts w:ascii="Arial" w:eastAsia="Arial" w:hAnsi="Arial" w:cs="Arial"/>
              </w:rPr>
            </w:pPr>
            <w:r>
              <w:rPr>
                <w:rFonts w:ascii="Arial" w:eastAsia="Arial" w:hAnsi="Arial" w:cs="Arial"/>
              </w:rPr>
              <w:t xml:space="preserve">• The adult trikes are equipped with a parking brake lever which should be applied when getting on and off, particularly on a gradient, the trike will roll otherwise.  </w:t>
            </w:r>
          </w:p>
          <w:p w14:paraId="3FC80BC3" w14:textId="77777777" w:rsidR="00E23058" w:rsidRDefault="00E23058">
            <w:pPr>
              <w:jc w:val="both"/>
              <w:rPr>
                <w:rFonts w:ascii="Arial" w:eastAsia="Arial" w:hAnsi="Arial" w:cs="Arial"/>
              </w:rPr>
            </w:pPr>
          </w:p>
          <w:p w14:paraId="441FBBB4" w14:textId="77777777" w:rsidR="009454E4" w:rsidRDefault="00487319">
            <w:pPr>
              <w:jc w:val="both"/>
              <w:rPr>
                <w:rFonts w:ascii="Arial" w:eastAsia="Arial" w:hAnsi="Arial" w:cs="Arial"/>
              </w:rPr>
            </w:pPr>
            <w:r>
              <w:rPr>
                <w:rFonts w:ascii="Arial" w:eastAsia="Arial" w:hAnsi="Arial" w:cs="Arial"/>
              </w:rPr>
              <w:t>• A carer or guardian can also steer the bike from behind using the lever that is show on the picture to the left.</w:t>
            </w:r>
          </w:p>
        </w:tc>
      </w:tr>
      <w:tr w:rsidR="009454E4" w14:paraId="7E70084B" w14:textId="77777777">
        <w:trPr>
          <w:trHeight w:val="2400"/>
        </w:trPr>
        <w:tc>
          <w:tcPr>
            <w:tcW w:w="3306" w:type="dxa"/>
            <w:tcBorders>
              <w:top w:val="single" w:sz="12" w:space="0" w:color="000000"/>
              <w:left w:val="single" w:sz="12" w:space="0" w:color="000000"/>
              <w:bottom w:val="single" w:sz="12" w:space="0" w:color="000000"/>
              <w:right w:val="single" w:sz="12" w:space="0" w:color="000000"/>
            </w:tcBorders>
          </w:tcPr>
          <w:p w14:paraId="5314295E" w14:textId="54C30B73" w:rsidR="009454E4" w:rsidRDefault="0031475C">
            <w:pPr>
              <w:jc w:val="both"/>
              <w:rPr>
                <w:rFonts w:ascii="Arial" w:eastAsia="Arial" w:hAnsi="Arial" w:cs="Arial"/>
              </w:rPr>
            </w:pPr>
            <w:r>
              <w:rPr>
                <w:noProof/>
              </w:rPr>
              <w:drawing>
                <wp:inline distT="0" distB="0" distL="114300" distR="114300" wp14:anchorId="6856935C" wp14:editId="2ECBB38D">
                  <wp:extent cx="1895475" cy="19050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95475" cy="1905000"/>
                          </a:xfrm>
                          <a:prstGeom prst="rect">
                            <a:avLst/>
                          </a:prstGeom>
                          <a:ln/>
                        </pic:spPr>
                      </pic:pic>
                    </a:graphicData>
                  </a:graphic>
                </wp:inline>
              </w:drawing>
            </w:r>
          </w:p>
        </w:tc>
        <w:tc>
          <w:tcPr>
            <w:tcW w:w="7130" w:type="dxa"/>
            <w:tcBorders>
              <w:top w:val="single" w:sz="12" w:space="0" w:color="000000"/>
              <w:left w:val="single" w:sz="12" w:space="0" w:color="000000"/>
              <w:bottom w:val="single" w:sz="12" w:space="0" w:color="000000"/>
              <w:right w:val="single" w:sz="12" w:space="0" w:color="000000"/>
            </w:tcBorders>
          </w:tcPr>
          <w:p w14:paraId="7798FA22" w14:textId="77777777" w:rsidR="0031475C" w:rsidRPr="00E23058" w:rsidRDefault="0031475C" w:rsidP="0031475C">
            <w:pPr>
              <w:pStyle w:val="ListParagraph"/>
              <w:numPr>
                <w:ilvl w:val="0"/>
                <w:numId w:val="2"/>
              </w:numPr>
              <w:jc w:val="both"/>
              <w:rPr>
                <w:rFonts w:ascii="Arial" w:eastAsia="Arial" w:hAnsi="Arial" w:cs="Arial"/>
              </w:rPr>
            </w:pPr>
            <w:r w:rsidRPr="00E23058">
              <w:rPr>
                <w:rFonts w:ascii="Arial" w:eastAsia="Arial" w:hAnsi="Arial" w:cs="Arial"/>
              </w:rPr>
              <w:t xml:space="preserve">Side by side feet forward tandem where users can operate independently of each other unlike a conventional tandem bicycle.  So one can pause pedalling or select a different gear independently of their buddy.  </w:t>
            </w:r>
          </w:p>
          <w:p w14:paraId="42C0CFF4" w14:textId="77777777" w:rsidR="0031475C" w:rsidRDefault="0031475C" w:rsidP="0031475C">
            <w:pPr>
              <w:jc w:val="both"/>
              <w:rPr>
                <w:rFonts w:ascii="Arial" w:eastAsia="Arial" w:hAnsi="Arial" w:cs="Arial"/>
              </w:rPr>
            </w:pPr>
          </w:p>
          <w:p w14:paraId="79F6A92A" w14:textId="351F9D7C" w:rsidR="0031475C" w:rsidRPr="00E23058" w:rsidRDefault="0031475C" w:rsidP="0031475C">
            <w:pPr>
              <w:pStyle w:val="ListParagraph"/>
              <w:numPr>
                <w:ilvl w:val="0"/>
                <w:numId w:val="2"/>
              </w:numPr>
              <w:jc w:val="both"/>
              <w:rPr>
                <w:rFonts w:ascii="Arial" w:eastAsia="Arial" w:hAnsi="Arial" w:cs="Arial"/>
              </w:rPr>
            </w:pPr>
            <w:r w:rsidRPr="00E23058">
              <w:rPr>
                <w:rFonts w:ascii="Arial" w:eastAsia="Arial" w:hAnsi="Arial" w:cs="Arial"/>
              </w:rPr>
              <w:t xml:space="preserve">Apply parking brake prior to mount &amp; dismount, raise armrest and push handlebar away to ease access.  Once seated adjust seat for &amp; aft to avoid overstretching legs.  Release parking brake and away you go!  </w:t>
            </w:r>
          </w:p>
          <w:p w14:paraId="06C4B52F" w14:textId="7EA81622" w:rsidR="0031475C" w:rsidRDefault="0031475C" w:rsidP="0031475C">
            <w:pPr>
              <w:jc w:val="both"/>
              <w:rPr>
                <w:rFonts w:ascii="Arial" w:eastAsia="Arial" w:hAnsi="Arial" w:cs="Arial"/>
              </w:rPr>
            </w:pPr>
          </w:p>
          <w:p w14:paraId="4367888B" w14:textId="61B21A48" w:rsidR="0031475C" w:rsidRPr="00E23058" w:rsidRDefault="0031475C" w:rsidP="0031475C">
            <w:pPr>
              <w:pStyle w:val="ListParagraph"/>
              <w:numPr>
                <w:ilvl w:val="0"/>
                <w:numId w:val="2"/>
              </w:numPr>
              <w:jc w:val="both"/>
              <w:rPr>
                <w:rFonts w:ascii="Arial" w:eastAsia="Arial" w:hAnsi="Arial" w:cs="Arial"/>
              </w:rPr>
            </w:pPr>
            <w:r w:rsidRPr="00E23058">
              <w:rPr>
                <w:rFonts w:ascii="Arial" w:eastAsia="Arial" w:hAnsi="Arial" w:cs="Arial"/>
              </w:rPr>
              <w:t xml:space="preserve">Pause pedalling momentarily when changing gear, hub gears are unlike derailleur gears where rotation must be maintained during gear shift.  </w:t>
            </w:r>
          </w:p>
          <w:p w14:paraId="75EE065F" w14:textId="639CBA7F" w:rsidR="0031475C" w:rsidRDefault="0031475C" w:rsidP="0031475C">
            <w:pPr>
              <w:jc w:val="both"/>
              <w:rPr>
                <w:rFonts w:ascii="Arial" w:eastAsia="Arial" w:hAnsi="Arial" w:cs="Arial"/>
              </w:rPr>
            </w:pPr>
          </w:p>
          <w:p w14:paraId="47776E76" w14:textId="752BEB38" w:rsidR="0031475C" w:rsidRDefault="0031475C" w:rsidP="0031475C">
            <w:pPr>
              <w:pStyle w:val="ListParagraph"/>
              <w:numPr>
                <w:ilvl w:val="0"/>
                <w:numId w:val="2"/>
              </w:numPr>
              <w:jc w:val="both"/>
              <w:rPr>
                <w:rFonts w:ascii="Arial" w:eastAsia="Arial" w:hAnsi="Arial" w:cs="Arial"/>
              </w:rPr>
            </w:pPr>
            <w:r w:rsidRPr="00E23058">
              <w:rPr>
                <w:rFonts w:ascii="Arial" w:eastAsia="Arial" w:hAnsi="Arial" w:cs="Arial"/>
              </w:rPr>
              <w:t>Gentle movement of the handlebar for turning, the steering is sensitive and unnerving if pushed excessively. Braking is done by rotating pedals backwards.  If in doubt seek assistance.</w:t>
            </w:r>
          </w:p>
          <w:p w14:paraId="4783EC71" w14:textId="2D4BBBDA" w:rsidR="009454E4" w:rsidRDefault="009454E4">
            <w:pPr>
              <w:jc w:val="both"/>
              <w:rPr>
                <w:rFonts w:ascii="Arial" w:eastAsia="Arial" w:hAnsi="Arial" w:cs="Arial"/>
              </w:rPr>
            </w:pPr>
          </w:p>
          <w:p w14:paraId="2B12771B" w14:textId="3D8273A1" w:rsidR="00D8034E" w:rsidRPr="0031475C" w:rsidRDefault="00D8034E" w:rsidP="0031475C">
            <w:pPr>
              <w:jc w:val="both"/>
              <w:rPr>
                <w:rFonts w:ascii="Arial" w:eastAsia="Arial" w:hAnsi="Arial" w:cs="Arial"/>
              </w:rPr>
            </w:pPr>
          </w:p>
        </w:tc>
      </w:tr>
      <w:tr w:rsidR="009454E4" w14:paraId="68D29CD0" w14:textId="77777777">
        <w:trPr>
          <w:trHeight w:val="2280"/>
        </w:trPr>
        <w:tc>
          <w:tcPr>
            <w:tcW w:w="3306" w:type="dxa"/>
            <w:tcBorders>
              <w:top w:val="single" w:sz="12" w:space="0" w:color="000000"/>
              <w:left w:val="single" w:sz="12" w:space="0" w:color="000000"/>
              <w:bottom w:val="single" w:sz="12" w:space="0" w:color="000000"/>
              <w:right w:val="single" w:sz="12" w:space="0" w:color="000000"/>
            </w:tcBorders>
          </w:tcPr>
          <w:p w14:paraId="2AFB1C02" w14:textId="421CD4F6" w:rsidR="0031475C" w:rsidRDefault="0031475C">
            <w:pPr>
              <w:jc w:val="both"/>
              <w:rPr>
                <w:rFonts w:ascii="Arial" w:eastAsia="Arial" w:hAnsi="Arial" w:cs="Arial"/>
              </w:rPr>
            </w:pPr>
            <w:r>
              <w:rPr>
                <w:noProof/>
              </w:rPr>
              <w:lastRenderedPageBreak/>
              <w:drawing>
                <wp:anchor distT="0" distB="0" distL="114300" distR="114300" simplePos="0" relativeHeight="251662336" behindDoc="0" locked="0" layoutInCell="1" allowOverlap="1" wp14:anchorId="092C245E" wp14:editId="305BA4E1">
                  <wp:simplePos x="0" y="0"/>
                  <wp:positionH relativeFrom="column">
                    <wp:posOffset>48260</wp:posOffset>
                  </wp:positionH>
                  <wp:positionV relativeFrom="paragraph">
                    <wp:posOffset>52705</wp:posOffset>
                  </wp:positionV>
                  <wp:extent cx="1905635" cy="1524000"/>
                  <wp:effectExtent l="0" t="0" r="0" b="0"/>
                  <wp:wrapSquare wrapText="bothSides"/>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905635" cy="1524000"/>
                          </a:xfrm>
                          <a:prstGeom prst="rect">
                            <a:avLst/>
                          </a:prstGeom>
                          <a:ln/>
                        </pic:spPr>
                      </pic:pic>
                    </a:graphicData>
                  </a:graphic>
                  <wp14:sizeRelH relativeFrom="page">
                    <wp14:pctWidth>0</wp14:pctWidth>
                  </wp14:sizeRelH>
                  <wp14:sizeRelV relativeFrom="page">
                    <wp14:pctHeight>0</wp14:pctHeight>
                  </wp14:sizeRelV>
                </wp:anchor>
              </w:drawing>
            </w:r>
          </w:p>
          <w:p w14:paraId="21B7FF9E" w14:textId="57BE7F0C" w:rsidR="0031475C" w:rsidRPr="0031475C" w:rsidRDefault="0031475C" w:rsidP="0031475C">
            <w:pPr>
              <w:rPr>
                <w:rFonts w:ascii="Arial" w:eastAsia="Arial" w:hAnsi="Arial" w:cs="Arial"/>
              </w:rPr>
            </w:pPr>
          </w:p>
          <w:p w14:paraId="44B7EEBF" w14:textId="22209B78" w:rsidR="0031475C" w:rsidRDefault="0031475C" w:rsidP="0031475C">
            <w:pPr>
              <w:rPr>
                <w:rFonts w:ascii="Arial" w:eastAsia="Arial" w:hAnsi="Arial" w:cs="Arial"/>
              </w:rPr>
            </w:pPr>
          </w:p>
          <w:p w14:paraId="71FD476A" w14:textId="6716E9A9" w:rsidR="0031475C" w:rsidRDefault="0031475C" w:rsidP="0031475C">
            <w:pPr>
              <w:rPr>
                <w:rFonts w:ascii="Arial" w:eastAsia="Arial" w:hAnsi="Arial" w:cs="Arial"/>
              </w:rPr>
            </w:pPr>
          </w:p>
          <w:p w14:paraId="30AFCC7A" w14:textId="1EBD04C8" w:rsidR="0031475C" w:rsidRDefault="0031475C" w:rsidP="0031475C">
            <w:pPr>
              <w:rPr>
                <w:rFonts w:ascii="Arial" w:eastAsia="Arial" w:hAnsi="Arial" w:cs="Arial"/>
              </w:rPr>
            </w:pPr>
          </w:p>
          <w:p w14:paraId="483D48AB" w14:textId="55E6D1F6" w:rsidR="0031475C" w:rsidRDefault="0031475C" w:rsidP="0031475C">
            <w:pPr>
              <w:rPr>
                <w:rFonts w:ascii="Arial" w:eastAsia="Arial" w:hAnsi="Arial" w:cs="Arial"/>
              </w:rPr>
            </w:pPr>
          </w:p>
          <w:p w14:paraId="5A36A542" w14:textId="0487001E" w:rsidR="009454E4" w:rsidRPr="0031475C" w:rsidRDefault="009454E4" w:rsidP="0031475C">
            <w:pPr>
              <w:jc w:val="center"/>
              <w:rPr>
                <w:rFonts w:ascii="Arial" w:eastAsia="Arial" w:hAnsi="Arial" w:cs="Arial"/>
              </w:rPr>
            </w:pPr>
          </w:p>
        </w:tc>
        <w:tc>
          <w:tcPr>
            <w:tcW w:w="7130" w:type="dxa"/>
            <w:tcBorders>
              <w:top w:val="single" w:sz="12" w:space="0" w:color="000000"/>
              <w:left w:val="single" w:sz="12" w:space="0" w:color="000000"/>
              <w:bottom w:val="single" w:sz="12" w:space="0" w:color="000000"/>
              <w:right w:val="single" w:sz="12" w:space="0" w:color="000000"/>
            </w:tcBorders>
          </w:tcPr>
          <w:p w14:paraId="0EBF7033" w14:textId="77777777" w:rsidR="0031475C" w:rsidRPr="0031475C" w:rsidRDefault="0031475C" w:rsidP="0031475C">
            <w:pPr>
              <w:pStyle w:val="ListParagraph"/>
              <w:rPr>
                <w:rFonts w:ascii="Arial" w:eastAsia="Arial" w:hAnsi="Arial" w:cs="Arial"/>
              </w:rPr>
            </w:pPr>
          </w:p>
          <w:p w14:paraId="52E42BA5" w14:textId="77777777" w:rsidR="0031475C" w:rsidRPr="00E23058" w:rsidRDefault="0031475C" w:rsidP="0031475C">
            <w:pPr>
              <w:pStyle w:val="ListParagraph"/>
              <w:numPr>
                <w:ilvl w:val="0"/>
                <w:numId w:val="1"/>
              </w:numPr>
              <w:jc w:val="both"/>
              <w:rPr>
                <w:rFonts w:ascii="Arial" w:eastAsia="Arial" w:hAnsi="Arial" w:cs="Arial"/>
              </w:rPr>
            </w:pPr>
            <w:r w:rsidRPr="00E23058">
              <w:rPr>
                <w:rFonts w:ascii="Arial" w:eastAsia="Arial" w:hAnsi="Arial" w:cs="Arial"/>
              </w:rPr>
              <w:t>This wheelchair carrying tricycle must be demonstrated by a member of staff to first time users – the safe loading, securing and unloading of the wheelchair user is paramount – if unsure don’t.</w:t>
            </w:r>
          </w:p>
          <w:p w14:paraId="166B2A64" w14:textId="77777777" w:rsidR="0031475C" w:rsidRDefault="0031475C" w:rsidP="0031475C">
            <w:pPr>
              <w:jc w:val="both"/>
              <w:rPr>
                <w:rFonts w:ascii="Arial" w:eastAsia="Arial" w:hAnsi="Arial" w:cs="Arial"/>
              </w:rPr>
            </w:pPr>
          </w:p>
          <w:p w14:paraId="284602D0" w14:textId="77777777" w:rsidR="0031475C" w:rsidRPr="00E23058" w:rsidRDefault="0031475C" w:rsidP="0031475C">
            <w:pPr>
              <w:pStyle w:val="ListParagraph"/>
              <w:numPr>
                <w:ilvl w:val="0"/>
                <w:numId w:val="1"/>
              </w:numPr>
              <w:jc w:val="both"/>
              <w:rPr>
                <w:rFonts w:ascii="Arial" w:eastAsia="Arial" w:hAnsi="Arial" w:cs="Arial"/>
              </w:rPr>
            </w:pPr>
            <w:r w:rsidRPr="00E23058">
              <w:rPr>
                <w:rFonts w:ascii="Arial" w:eastAsia="Arial" w:hAnsi="Arial" w:cs="Arial"/>
              </w:rPr>
              <w:t>Ensure both parking brakes are applied prior to loading &amp; unloading.</w:t>
            </w:r>
          </w:p>
          <w:p w14:paraId="20E6C027" w14:textId="77777777" w:rsidR="0031475C" w:rsidRDefault="0031475C" w:rsidP="0031475C">
            <w:pPr>
              <w:jc w:val="both"/>
              <w:rPr>
                <w:rFonts w:ascii="Arial" w:eastAsia="Arial" w:hAnsi="Arial" w:cs="Arial"/>
              </w:rPr>
            </w:pPr>
          </w:p>
          <w:p w14:paraId="4F6662CC" w14:textId="77777777" w:rsidR="0031475C" w:rsidRDefault="0031475C" w:rsidP="0031475C">
            <w:pPr>
              <w:jc w:val="both"/>
              <w:rPr>
                <w:rFonts w:ascii="Arial" w:eastAsia="Arial" w:hAnsi="Arial" w:cs="Arial"/>
              </w:rPr>
            </w:pPr>
          </w:p>
          <w:p w14:paraId="25E902A7" w14:textId="77777777" w:rsidR="0031475C" w:rsidRDefault="0031475C" w:rsidP="0031475C">
            <w:pPr>
              <w:pStyle w:val="ListParagraph"/>
              <w:numPr>
                <w:ilvl w:val="0"/>
                <w:numId w:val="1"/>
              </w:numPr>
              <w:jc w:val="both"/>
              <w:rPr>
                <w:rFonts w:ascii="Arial" w:eastAsia="Arial" w:hAnsi="Arial" w:cs="Arial"/>
              </w:rPr>
            </w:pPr>
            <w:r w:rsidRPr="00E23058">
              <w:rPr>
                <w:rFonts w:ascii="Arial" w:eastAsia="Arial" w:hAnsi="Arial" w:cs="Arial"/>
              </w:rPr>
              <w:t>Release split pin and platform release lever to tilt down, reverse user onto platform fully until wheels touch the buffers, apply your chairs brakes. The platform will tilt level and click securely as the chair loads. – The chair must be in the correct position for the correct centre of gravity - The platform release lever and it’s split pin must returned.</w:t>
            </w:r>
          </w:p>
          <w:p w14:paraId="5151D4FA" w14:textId="77777777" w:rsidR="0031475C" w:rsidRDefault="0031475C" w:rsidP="0031475C">
            <w:pPr>
              <w:jc w:val="both"/>
              <w:rPr>
                <w:rFonts w:ascii="Arial" w:eastAsia="Arial" w:hAnsi="Arial" w:cs="Arial"/>
              </w:rPr>
            </w:pPr>
          </w:p>
          <w:p w14:paraId="4B645662" w14:textId="6AA8D1A6" w:rsidR="0031475C" w:rsidRPr="00E23058" w:rsidRDefault="0031475C" w:rsidP="0031475C">
            <w:pPr>
              <w:pStyle w:val="ListParagraph"/>
              <w:numPr>
                <w:ilvl w:val="0"/>
                <w:numId w:val="1"/>
              </w:numPr>
              <w:jc w:val="both"/>
              <w:rPr>
                <w:rFonts w:ascii="Arial" w:eastAsia="Arial" w:hAnsi="Arial" w:cs="Arial"/>
              </w:rPr>
            </w:pPr>
            <w:r w:rsidRPr="00E23058">
              <w:rPr>
                <w:rFonts w:ascii="Arial" w:eastAsia="Arial" w:hAnsi="Arial" w:cs="Arial"/>
              </w:rPr>
              <w:t>All three harnesses must be hooked onto the chairs frame, one applies tension fore and two aft – when correctly secured and tensioned and the chairs own brakes applied the chair will not move.  Release using the red latch and then tension by turning the knob on each ratcheted anchor point. If in doubt seek assistance.</w:t>
            </w:r>
          </w:p>
          <w:p w14:paraId="6352C617" w14:textId="77777777" w:rsidR="0031475C" w:rsidRDefault="0031475C" w:rsidP="0031475C">
            <w:pPr>
              <w:jc w:val="both"/>
              <w:rPr>
                <w:rFonts w:ascii="Arial" w:eastAsia="Arial" w:hAnsi="Arial" w:cs="Arial"/>
              </w:rPr>
            </w:pPr>
          </w:p>
          <w:p w14:paraId="7E6E4ED1" w14:textId="79864E0C" w:rsidR="0031475C" w:rsidRPr="0031475C" w:rsidRDefault="0031475C" w:rsidP="0031475C">
            <w:pPr>
              <w:pStyle w:val="ListParagraph"/>
              <w:numPr>
                <w:ilvl w:val="0"/>
                <w:numId w:val="1"/>
              </w:numPr>
              <w:jc w:val="both"/>
              <w:rPr>
                <w:rFonts w:ascii="Arial" w:eastAsia="Arial" w:hAnsi="Arial" w:cs="Arial"/>
              </w:rPr>
            </w:pPr>
            <w:r w:rsidRPr="0031475C">
              <w:rPr>
                <w:rFonts w:ascii="Arial" w:eastAsia="Arial" w:hAnsi="Arial" w:cs="Arial"/>
              </w:rPr>
              <w:t>To unload simply reverse the procedure. Don’t forget to remove the platform release lever split pin and release the platform, as the wheelchair user rolls forwards slightly the platform will gently tilt down .</w:t>
            </w:r>
          </w:p>
        </w:tc>
      </w:tr>
      <w:tr w:rsidR="009454E4" w14:paraId="22D3FDC7" w14:textId="77777777">
        <w:trPr>
          <w:trHeight w:val="2280"/>
        </w:trPr>
        <w:tc>
          <w:tcPr>
            <w:tcW w:w="3306" w:type="dxa"/>
            <w:tcBorders>
              <w:top w:val="single" w:sz="12" w:space="0" w:color="000000"/>
              <w:left w:val="single" w:sz="12" w:space="0" w:color="000000"/>
              <w:bottom w:val="single" w:sz="12" w:space="0" w:color="000000"/>
              <w:right w:val="single" w:sz="12" w:space="0" w:color="000000"/>
            </w:tcBorders>
          </w:tcPr>
          <w:p w14:paraId="72D6BF30" w14:textId="448B17B2" w:rsidR="009454E4" w:rsidRDefault="00487319">
            <w:pPr>
              <w:jc w:val="both"/>
              <w:rPr>
                <w:rFonts w:ascii="Arial" w:eastAsia="Arial" w:hAnsi="Arial" w:cs="Arial"/>
              </w:rPr>
            </w:pPr>
            <w:r>
              <w:rPr>
                <w:noProof/>
              </w:rPr>
              <w:drawing>
                <wp:inline distT="0" distB="0" distL="114300" distR="114300" wp14:anchorId="6DA4AC63" wp14:editId="6176382A">
                  <wp:extent cx="1847850" cy="126682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847850" cy="1266825"/>
                          </a:xfrm>
                          <a:prstGeom prst="rect">
                            <a:avLst/>
                          </a:prstGeom>
                          <a:ln/>
                        </pic:spPr>
                      </pic:pic>
                    </a:graphicData>
                  </a:graphic>
                </wp:inline>
              </w:drawing>
            </w:r>
          </w:p>
        </w:tc>
        <w:tc>
          <w:tcPr>
            <w:tcW w:w="7130" w:type="dxa"/>
            <w:tcBorders>
              <w:top w:val="single" w:sz="12" w:space="0" w:color="000000"/>
              <w:left w:val="single" w:sz="12" w:space="0" w:color="000000"/>
              <w:bottom w:val="single" w:sz="12" w:space="0" w:color="000000"/>
              <w:right w:val="single" w:sz="12" w:space="0" w:color="000000"/>
            </w:tcBorders>
          </w:tcPr>
          <w:p w14:paraId="18901C4B" w14:textId="259EF2DF" w:rsidR="009454E4" w:rsidRDefault="009454E4">
            <w:pPr>
              <w:jc w:val="both"/>
              <w:rPr>
                <w:rFonts w:ascii="Arial" w:eastAsia="Arial" w:hAnsi="Arial" w:cs="Arial"/>
              </w:rPr>
            </w:pPr>
          </w:p>
          <w:p w14:paraId="5E69D405" w14:textId="77777777" w:rsidR="00E23058" w:rsidRPr="00E23058" w:rsidRDefault="00972C99" w:rsidP="00E23058">
            <w:pPr>
              <w:pStyle w:val="ListParagraph"/>
              <w:numPr>
                <w:ilvl w:val="0"/>
                <w:numId w:val="4"/>
              </w:numPr>
              <w:jc w:val="both"/>
              <w:rPr>
                <w:rFonts w:ascii="Arial" w:eastAsia="Arial" w:hAnsi="Arial" w:cs="Arial"/>
              </w:rPr>
            </w:pPr>
            <w:r w:rsidRPr="00E23058">
              <w:rPr>
                <w:rFonts w:ascii="Arial" w:eastAsia="Arial" w:hAnsi="Arial" w:cs="Arial"/>
              </w:rPr>
              <w:t>Ensure parking brake applied before mounting and dismounting.</w:t>
            </w:r>
          </w:p>
          <w:p w14:paraId="62E961E2" w14:textId="77777777" w:rsidR="00E23058" w:rsidRDefault="00E23058" w:rsidP="00E23058">
            <w:pPr>
              <w:pStyle w:val="ListParagraph"/>
              <w:jc w:val="both"/>
              <w:rPr>
                <w:rFonts w:ascii="Arial" w:eastAsia="Arial" w:hAnsi="Arial" w:cs="Arial"/>
              </w:rPr>
            </w:pPr>
          </w:p>
          <w:p w14:paraId="5DD82BC7" w14:textId="1CF7A108" w:rsidR="00972C99" w:rsidRPr="00E23058" w:rsidRDefault="00972C99" w:rsidP="00E23058">
            <w:pPr>
              <w:pStyle w:val="ListParagraph"/>
              <w:jc w:val="both"/>
              <w:rPr>
                <w:rFonts w:ascii="Arial" w:eastAsia="Arial" w:hAnsi="Arial" w:cs="Arial"/>
              </w:rPr>
            </w:pPr>
            <w:r w:rsidRPr="00E23058">
              <w:rPr>
                <w:rFonts w:ascii="Arial" w:eastAsia="Arial" w:hAnsi="Arial" w:cs="Arial"/>
              </w:rPr>
              <w:t xml:space="preserve"> </w:t>
            </w:r>
          </w:p>
          <w:p w14:paraId="1F519FAE" w14:textId="77777777" w:rsidR="00EC3574" w:rsidRPr="00E23058" w:rsidRDefault="00EC3574" w:rsidP="00E23058">
            <w:pPr>
              <w:pStyle w:val="ListParagraph"/>
              <w:numPr>
                <w:ilvl w:val="0"/>
                <w:numId w:val="4"/>
              </w:numPr>
              <w:jc w:val="both"/>
              <w:rPr>
                <w:rFonts w:ascii="Arial" w:eastAsia="Arial" w:hAnsi="Arial" w:cs="Arial"/>
              </w:rPr>
            </w:pPr>
            <w:r w:rsidRPr="00E23058">
              <w:rPr>
                <w:rFonts w:ascii="Arial" w:eastAsia="Arial" w:hAnsi="Arial" w:cs="Arial"/>
              </w:rPr>
              <w:t>The unique function of the rotating seat enables ease of mount and dismount</w:t>
            </w:r>
            <w:r w:rsidR="00520028" w:rsidRPr="00E23058">
              <w:rPr>
                <w:rFonts w:ascii="Arial" w:eastAsia="Arial" w:hAnsi="Arial" w:cs="Arial"/>
              </w:rPr>
              <w:t>ing, simply press the red lever on the left handlebar to release – Ensure the seat clicks back securely</w:t>
            </w:r>
            <w:r w:rsidR="009B52A4" w:rsidRPr="00E23058">
              <w:rPr>
                <w:rFonts w:ascii="Arial" w:eastAsia="Arial" w:hAnsi="Arial" w:cs="Arial"/>
              </w:rPr>
              <w:t xml:space="preserve"> into position.  The fore &amp; aft seat position is adjustable </w:t>
            </w:r>
            <w:r w:rsidR="00EC4210" w:rsidRPr="00E23058">
              <w:rPr>
                <w:rFonts w:ascii="Arial" w:eastAsia="Arial" w:hAnsi="Arial" w:cs="Arial"/>
              </w:rPr>
              <w:t xml:space="preserve">by releasing the lever </w:t>
            </w:r>
            <w:r w:rsidR="00065D41" w:rsidRPr="00E23058">
              <w:rPr>
                <w:rFonts w:ascii="Arial" w:eastAsia="Arial" w:hAnsi="Arial" w:cs="Arial"/>
              </w:rPr>
              <w:t>behind</w:t>
            </w:r>
            <w:r w:rsidR="00EC4210" w:rsidRPr="00E23058">
              <w:rPr>
                <w:rFonts w:ascii="Arial" w:eastAsia="Arial" w:hAnsi="Arial" w:cs="Arial"/>
              </w:rPr>
              <w:t xml:space="preserve"> the seat</w:t>
            </w:r>
            <w:r w:rsidR="00065D41" w:rsidRPr="00E23058">
              <w:rPr>
                <w:rFonts w:ascii="Arial" w:eastAsia="Arial" w:hAnsi="Arial" w:cs="Arial"/>
              </w:rPr>
              <w:t xml:space="preserve"> to avoid overstretching legs.  </w:t>
            </w:r>
          </w:p>
          <w:p w14:paraId="366FDBB6" w14:textId="77777777" w:rsidR="001331A6" w:rsidRDefault="001331A6">
            <w:pPr>
              <w:jc w:val="both"/>
              <w:rPr>
                <w:rFonts w:ascii="Arial" w:eastAsia="Arial" w:hAnsi="Arial" w:cs="Arial"/>
              </w:rPr>
            </w:pPr>
          </w:p>
          <w:p w14:paraId="7EED5FCF" w14:textId="77777777" w:rsidR="001331A6" w:rsidRPr="00E23058" w:rsidRDefault="001331A6" w:rsidP="00E23058">
            <w:pPr>
              <w:pStyle w:val="ListParagraph"/>
              <w:numPr>
                <w:ilvl w:val="0"/>
                <w:numId w:val="4"/>
              </w:numPr>
              <w:jc w:val="both"/>
              <w:rPr>
                <w:rFonts w:ascii="Arial" w:eastAsia="Arial" w:hAnsi="Arial" w:cs="Arial"/>
              </w:rPr>
            </w:pPr>
            <w:r w:rsidRPr="00E23058">
              <w:rPr>
                <w:rFonts w:ascii="Arial" w:eastAsia="Arial" w:hAnsi="Arial" w:cs="Arial"/>
              </w:rPr>
              <w:t xml:space="preserve">Handlebars are adjustable but forearms will usually have a slight </w:t>
            </w:r>
            <w:r w:rsidR="00F521D0" w:rsidRPr="00E23058">
              <w:rPr>
                <w:rFonts w:ascii="Arial" w:eastAsia="Arial" w:hAnsi="Arial" w:cs="Arial"/>
              </w:rPr>
              <w:t>upwards position when gripping the bars but seek assistance if in doubt regards seat and handlebar positioning.</w:t>
            </w:r>
          </w:p>
          <w:p w14:paraId="495B002F" w14:textId="77777777" w:rsidR="00991A9F" w:rsidRDefault="00991A9F">
            <w:pPr>
              <w:jc w:val="both"/>
              <w:rPr>
                <w:rFonts w:ascii="Arial" w:eastAsia="Arial" w:hAnsi="Arial" w:cs="Arial"/>
              </w:rPr>
            </w:pPr>
          </w:p>
          <w:p w14:paraId="6292FD94" w14:textId="3889DA5F" w:rsidR="00343461" w:rsidRPr="005E3937" w:rsidRDefault="00991A9F" w:rsidP="005E3937">
            <w:pPr>
              <w:pStyle w:val="ListParagraph"/>
              <w:numPr>
                <w:ilvl w:val="0"/>
                <w:numId w:val="4"/>
              </w:numPr>
              <w:jc w:val="both"/>
              <w:rPr>
                <w:rFonts w:ascii="Arial" w:eastAsia="Arial" w:hAnsi="Arial" w:cs="Arial"/>
              </w:rPr>
            </w:pPr>
            <w:r w:rsidRPr="00E23058">
              <w:rPr>
                <w:rFonts w:ascii="Arial" w:eastAsia="Arial" w:hAnsi="Arial" w:cs="Arial"/>
              </w:rPr>
              <w:t xml:space="preserve">Pause pedalling momentarily when </w:t>
            </w:r>
            <w:r w:rsidR="00884B8A" w:rsidRPr="00E23058">
              <w:rPr>
                <w:rFonts w:ascii="Arial" w:eastAsia="Arial" w:hAnsi="Arial" w:cs="Arial"/>
              </w:rPr>
              <w:t xml:space="preserve">changing gears, hub gears </w:t>
            </w:r>
            <w:r w:rsidR="00CA6D39" w:rsidRPr="00E23058">
              <w:rPr>
                <w:rFonts w:ascii="Arial" w:eastAsia="Arial" w:hAnsi="Arial" w:cs="Arial"/>
              </w:rPr>
              <w:t>are unlike</w:t>
            </w:r>
            <w:r w:rsidR="00884B8A" w:rsidRPr="00E23058">
              <w:rPr>
                <w:rFonts w:ascii="Arial" w:eastAsia="Arial" w:hAnsi="Arial" w:cs="Arial"/>
              </w:rPr>
              <w:t xml:space="preserve"> </w:t>
            </w:r>
            <w:r w:rsidR="00CA6D39" w:rsidRPr="00E23058">
              <w:rPr>
                <w:rFonts w:ascii="Arial" w:eastAsia="Arial" w:hAnsi="Arial" w:cs="Arial"/>
              </w:rPr>
              <w:t>derailleur</w:t>
            </w:r>
            <w:r w:rsidR="001E646F" w:rsidRPr="00E23058">
              <w:rPr>
                <w:rFonts w:ascii="Arial" w:eastAsia="Arial" w:hAnsi="Arial" w:cs="Arial"/>
              </w:rPr>
              <w:t xml:space="preserve"> gears where rota</w:t>
            </w:r>
            <w:r w:rsidR="00B22454" w:rsidRPr="00E23058">
              <w:rPr>
                <w:rFonts w:ascii="Arial" w:eastAsia="Arial" w:hAnsi="Arial" w:cs="Arial"/>
              </w:rPr>
              <w:t xml:space="preserve">tion is maintained during hear </w:t>
            </w:r>
            <w:r w:rsidR="001E646F" w:rsidRPr="00E23058">
              <w:rPr>
                <w:rFonts w:ascii="Arial" w:eastAsia="Arial" w:hAnsi="Arial" w:cs="Arial"/>
              </w:rPr>
              <w:t>shifting</w:t>
            </w:r>
            <w:r w:rsidR="00343461" w:rsidRPr="00E23058">
              <w:rPr>
                <w:rFonts w:ascii="Arial" w:eastAsia="Arial" w:hAnsi="Arial" w:cs="Arial"/>
              </w:rPr>
              <w:t>.</w:t>
            </w:r>
          </w:p>
          <w:p w14:paraId="3371764C" w14:textId="79A5A40A" w:rsidR="00343461" w:rsidRDefault="00343461">
            <w:pPr>
              <w:jc w:val="both"/>
              <w:rPr>
                <w:rFonts w:ascii="Arial" w:eastAsia="Arial" w:hAnsi="Arial" w:cs="Arial"/>
              </w:rPr>
            </w:pPr>
          </w:p>
        </w:tc>
      </w:tr>
      <w:tr w:rsidR="009454E4" w14:paraId="23808C8E" w14:textId="77777777">
        <w:trPr>
          <w:trHeight w:val="760"/>
        </w:trPr>
        <w:tc>
          <w:tcPr>
            <w:tcW w:w="10436" w:type="dxa"/>
            <w:gridSpan w:val="2"/>
            <w:tcBorders>
              <w:top w:val="single" w:sz="12" w:space="0" w:color="000000"/>
              <w:left w:val="single" w:sz="12" w:space="0" w:color="000000"/>
              <w:bottom w:val="single" w:sz="12" w:space="0" w:color="000000"/>
              <w:right w:val="single" w:sz="12" w:space="0" w:color="000000"/>
            </w:tcBorders>
          </w:tcPr>
          <w:p w14:paraId="4B81EDA3" w14:textId="77777777" w:rsidR="005E3937" w:rsidRPr="005E3937" w:rsidRDefault="005E3937" w:rsidP="005E3937">
            <w:pPr>
              <w:jc w:val="both"/>
              <w:rPr>
                <w:rFonts w:ascii="Arial" w:hAnsi="Arial" w:cs="Arial"/>
                <w:sz w:val="20"/>
                <w:szCs w:val="20"/>
              </w:rPr>
            </w:pPr>
            <w:r w:rsidRPr="005E3937">
              <w:rPr>
                <w:rFonts w:ascii="Arial" w:hAnsi="Arial" w:cs="Arial"/>
                <w:b/>
                <w:sz w:val="20"/>
                <w:szCs w:val="20"/>
                <w:u w:val="single"/>
              </w:rPr>
              <w:t>BIKE HIRE AGREEMENT</w:t>
            </w:r>
          </w:p>
          <w:p w14:paraId="75513CB3" w14:textId="77777777" w:rsidR="005E3937" w:rsidRDefault="005E3937">
            <w:pPr>
              <w:jc w:val="both"/>
              <w:rPr>
                <w:rFonts w:ascii="Arial" w:eastAsia="Arial" w:hAnsi="Arial" w:cs="Arial"/>
              </w:rPr>
            </w:pPr>
          </w:p>
          <w:p w14:paraId="2ACE683E" w14:textId="77777777" w:rsidR="005E3937" w:rsidRDefault="005E3937">
            <w:pPr>
              <w:jc w:val="both"/>
              <w:rPr>
                <w:rFonts w:ascii="Arial" w:eastAsia="Arial" w:hAnsi="Arial" w:cs="Arial"/>
              </w:rPr>
            </w:pPr>
          </w:p>
          <w:p w14:paraId="3CC262DF" w14:textId="77777777" w:rsidR="005E3937" w:rsidRDefault="005E3937" w:rsidP="005E3937">
            <w:pPr>
              <w:jc w:val="both"/>
              <w:rPr>
                <w:rFonts w:ascii="Arial" w:hAnsi="Arial" w:cs="Arial"/>
                <w:sz w:val="20"/>
                <w:szCs w:val="20"/>
              </w:rPr>
            </w:pPr>
            <w:r w:rsidRPr="005E3937">
              <w:rPr>
                <w:rFonts w:ascii="Arial" w:hAnsi="Arial" w:cs="Arial"/>
                <w:i/>
                <w:sz w:val="20"/>
                <w:szCs w:val="20"/>
              </w:rPr>
              <w:t>I have inspected the bicycle(s) prior to signing this agreement and have checked they are in a satisfactory and safe condition and fit for purpose.  We will not undertake any manoeuvre which is beyond our level of skill or unsuitable for the bikes capability.  I fully indemnify Northern Community Leisure Trust against injury to myself or any third party.  For those visually impaired users, we ask that you must have a secondary user with sufficient vision to operate the bike safely.  I accept that cycle helmets have been offered and should I decide not to use them then I accept full responsibility. I have inspected the helmets &amp; equipment prior to signing this agreement for any defects or damage.  I recognise that cycling can be dangerous and acknowledge the risks involved.</w:t>
            </w:r>
          </w:p>
          <w:p w14:paraId="4892A4A0" w14:textId="77777777" w:rsidR="005E3937" w:rsidRDefault="005E3937">
            <w:pPr>
              <w:jc w:val="both"/>
              <w:rPr>
                <w:rFonts w:ascii="Arial" w:eastAsia="Arial" w:hAnsi="Arial" w:cs="Arial"/>
              </w:rPr>
            </w:pPr>
          </w:p>
          <w:p w14:paraId="52865B42" w14:textId="77777777" w:rsidR="009454E4" w:rsidRDefault="00487319">
            <w:pPr>
              <w:jc w:val="both"/>
              <w:rPr>
                <w:rFonts w:ascii="Arial" w:eastAsia="Arial" w:hAnsi="Arial" w:cs="Arial"/>
              </w:rPr>
            </w:pPr>
            <w:r>
              <w:rPr>
                <w:rFonts w:ascii="Arial" w:eastAsia="Arial" w:hAnsi="Arial" w:cs="Arial"/>
              </w:rPr>
              <w:t>Pilot Signature:_____________________________   Date:____________________________________</w:t>
            </w:r>
          </w:p>
          <w:p w14:paraId="0767D30A" w14:textId="77777777" w:rsidR="005E3937" w:rsidRDefault="005E3937">
            <w:pPr>
              <w:jc w:val="both"/>
              <w:rPr>
                <w:rFonts w:ascii="Arial" w:eastAsia="Arial" w:hAnsi="Arial" w:cs="Arial"/>
              </w:rPr>
            </w:pPr>
          </w:p>
          <w:p w14:paraId="6B833476" w14:textId="38924AD5" w:rsidR="005E3937" w:rsidRDefault="005E3937">
            <w:pPr>
              <w:jc w:val="both"/>
              <w:rPr>
                <w:rFonts w:ascii="Arial" w:eastAsia="Arial" w:hAnsi="Arial" w:cs="Arial"/>
              </w:rPr>
            </w:pPr>
            <w:r>
              <w:rPr>
                <w:rFonts w:ascii="Arial" w:eastAsia="Arial" w:hAnsi="Arial" w:cs="Arial"/>
              </w:rPr>
              <w:t>Pilot Name:________________________________</w:t>
            </w:r>
          </w:p>
        </w:tc>
      </w:tr>
    </w:tbl>
    <w:p w14:paraId="66DB83A3" w14:textId="77777777" w:rsidR="009454E4" w:rsidRDefault="009454E4" w:rsidP="00D315E5">
      <w:pPr>
        <w:rPr>
          <w:sz w:val="36"/>
          <w:szCs w:val="36"/>
        </w:rPr>
      </w:pPr>
    </w:p>
    <w:sectPr w:rsidR="009454E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2A15" w14:textId="77777777" w:rsidR="00EA2212" w:rsidRDefault="00EA2212">
      <w:pPr>
        <w:spacing w:after="0" w:line="240" w:lineRule="auto"/>
      </w:pPr>
      <w:r>
        <w:separator/>
      </w:r>
    </w:p>
  </w:endnote>
  <w:endnote w:type="continuationSeparator" w:id="0">
    <w:p w14:paraId="34B660E6" w14:textId="77777777" w:rsidR="00EA2212" w:rsidRDefault="00EA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A6F5" w14:textId="77777777" w:rsidR="001A5AA6" w:rsidRDefault="001A5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3255" w14:textId="77777777" w:rsidR="001A5AA6" w:rsidRDefault="001A5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E95E" w14:textId="77777777" w:rsidR="001A5AA6" w:rsidRDefault="001A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EF76" w14:textId="77777777" w:rsidR="00EA2212" w:rsidRDefault="00EA2212">
      <w:pPr>
        <w:spacing w:after="0" w:line="240" w:lineRule="auto"/>
      </w:pPr>
      <w:r>
        <w:separator/>
      </w:r>
    </w:p>
  </w:footnote>
  <w:footnote w:type="continuationSeparator" w:id="0">
    <w:p w14:paraId="6B1D2BE0" w14:textId="77777777" w:rsidR="00EA2212" w:rsidRDefault="00EA2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DFD4" w14:textId="77777777" w:rsidR="001A5AA6" w:rsidRDefault="001A5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F07C" w14:textId="7BDADBF6" w:rsidR="009454E4" w:rsidRDefault="001A5AA6">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9264" behindDoc="0" locked="0" layoutInCell="0" allowOverlap="1" wp14:anchorId="16355A37" wp14:editId="1F52B9D0">
              <wp:simplePos x="0" y="0"/>
              <wp:positionH relativeFrom="page">
                <wp:posOffset>0</wp:posOffset>
              </wp:positionH>
              <wp:positionV relativeFrom="page">
                <wp:posOffset>190500</wp:posOffset>
              </wp:positionV>
              <wp:extent cx="7560310" cy="273050"/>
              <wp:effectExtent l="0" t="0" r="0" b="12700"/>
              <wp:wrapNone/>
              <wp:docPr id="1" name="MSIPCMd8864ec8adef5f2641d5f76b" descr="{&quot;HashCode&quot;:-8922871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B32E4" w14:textId="1A325A11" w:rsidR="001A5AA6" w:rsidRPr="001A5AA6" w:rsidRDefault="001A5AA6" w:rsidP="001A5AA6">
                          <w:pPr>
                            <w:spacing w:after="0"/>
                            <w:jc w:val="center"/>
                            <w:rPr>
                              <w:color w:val="737373"/>
                              <w:sz w:val="20"/>
                            </w:rPr>
                          </w:pPr>
                          <w:r w:rsidRPr="001A5AA6">
                            <w:rPr>
                              <w:color w:val="737373"/>
                              <w:sz w:val="20"/>
                            </w:rPr>
                            <w:t>Serco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355A37" id="_x0000_t202" coordsize="21600,21600" o:spt="202" path="m,l,21600r21600,l21600,xe">
              <v:stroke joinstyle="miter"/>
              <v:path gradientshapeok="t" o:connecttype="rect"/>
            </v:shapetype>
            <v:shape id="MSIPCMd8864ec8adef5f2641d5f76b" o:spid="_x0000_s1026" type="#_x0000_t202" alt="{&quot;HashCode&quot;:-89228715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BmKbF/qwIAAEYFAAAOAAAAAAAAAAAA&#10;AAAAAC4CAABkcnMvZTJvRG9jLnhtbFBLAQItABQABgAIAAAAIQBLIgnm3AAAAAcBAAAPAAAAAAAA&#10;AAAAAAAAAAUFAABkcnMvZG93bnJldi54bWxQSwUGAAAAAAQABADzAAAADgYAAAAA&#10;" o:allowincell="f" filled="f" stroked="f" strokeweight=".5pt">
              <v:fill o:detectmouseclick="t"/>
              <v:textbox inset=",0,,0">
                <w:txbxContent>
                  <w:p w14:paraId="7A8B32E4" w14:textId="1A325A11" w:rsidR="001A5AA6" w:rsidRPr="001A5AA6" w:rsidRDefault="001A5AA6" w:rsidP="001A5AA6">
                    <w:pPr>
                      <w:spacing w:after="0"/>
                      <w:jc w:val="center"/>
                      <w:rPr>
                        <w:color w:val="737373"/>
                        <w:sz w:val="20"/>
                      </w:rPr>
                    </w:pPr>
                    <w:r w:rsidRPr="001A5AA6">
                      <w:rPr>
                        <w:color w:val="737373"/>
                        <w:sz w:val="20"/>
                      </w:rPr>
                      <w:t>Serco 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099E" w14:textId="77777777" w:rsidR="001A5AA6" w:rsidRDefault="001A5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7539"/>
    <w:multiLevelType w:val="hybridMultilevel"/>
    <w:tmpl w:val="CDA2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A80287"/>
    <w:multiLevelType w:val="hybridMultilevel"/>
    <w:tmpl w:val="06D43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A2024"/>
    <w:multiLevelType w:val="hybridMultilevel"/>
    <w:tmpl w:val="0200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53893"/>
    <w:multiLevelType w:val="hybridMultilevel"/>
    <w:tmpl w:val="D7BA7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874AD6"/>
    <w:multiLevelType w:val="hybridMultilevel"/>
    <w:tmpl w:val="914A2D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E4"/>
    <w:rsid w:val="000365D7"/>
    <w:rsid w:val="00065D41"/>
    <w:rsid w:val="00084869"/>
    <w:rsid w:val="000858BF"/>
    <w:rsid w:val="000B56A0"/>
    <w:rsid w:val="000F3A54"/>
    <w:rsid w:val="0011631B"/>
    <w:rsid w:val="001331A6"/>
    <w:rsid w:val="001411B4"/>
    <w:rsid w:val="001667C4"/>
    <w:rsid w:val="001714B0"/>
    <w:rsid w:val="001730A0"/>
    <w:rsid w:val="00180D54"/>
    <w:rsid w:val="00190520"/>
    <w:rsid w:val="001A5AA6"/>
    <w:rsid w:val="001D55F6"/>
    <w:rsid w:val="001E646F"/>
    <w:rsid w:val="001F7AAB"/>
    <w:rsid w:val="00216DEC"/>
    <w:rsid w:val="00242B03"/>
    <w:rsid w:val="0024759F"/>
    <w:rsid w:val="00250363"/>
    <w:rsid w:val="00286834"/>
    <w:rsid w:val="002A168B"/>
    <w:rsid w:val="002C02A9"/>
    <w:rsid w:val="0031475C"/>
    <w:rsid w:val="00331FA5"/>
    <w:rsid w:val="00343461"/>
    <w:rsid w:val="00345778"/>
    <w:rsid w:val="003658CF"/>
    <w:rsid w:val="003B6D48"/>
    <w:rsid w:val="003F43E7"/>
    <w:rsid w:val="00414D25"/>
    <w:rsid w:val="00431D4A"/>
    <w:rsid w:val="004664F8"/>
    <w:rsid w:val="004675BA"/>
    <w:rsid w:val="00487319"/>
    <w:rsid w:val="004919AA"/>
    <w:rsid w:val="004D04D3"/>
    <w:rsid w:val="004F6ADB"/>
    <w:rsid w:val="00512DB2"/>
    <w:rsid w:val="00520028"/>
    <w:rsid w:val="00523360"/>
    <w:rsid w:val="00551E4F"/>
    <w:rsid w:val="005A4302"/>
    <w:rsid w:val="005B4BE6"/>
    <w:rsid w:val="005C5432"/>
    <w:rsid w:val="005E3937"/>
    <w:rsid w:val="00607E9D"/>
    <w:rsid w:val="00661930"/>
    <w:rsid w:val="006A5FCE"/>
    <w:rsid w:val="006D4B78"/>
    <w:rsid w:val="00702BEE"/>
    <w:rsid w:val="007315D3"/>
    <w:rsid w:val="00735F00"/>
    <w:rsid w:val="00764336"/>
    <w:rsid w:val="00777731"/>
    <w:rsid w:val="007E1767"/>
    <w:rsid w:val="0080011F"/>
    <w:rsid w:val="0080189C"/>
    <w:rsid w:val="00812530"/>
    <w:rsid w:val="008358A6"/>
    <w:rsid w:val="00841A9D"/>
    <w:rsid w:val="00884B8A"/>
    <w:rsid w:val="008A6CF6"/>
    <w:rsid w:val="008C1BEE"/>
    <w:rsid w:val="008D035B"/>
    <w:rsid w:val="008F22E8"/>
    <w:rsid w:val="00922250"/>
    <w:rsid w:val="009454E4"/>
    <w:rsid w:val="00957682"/>
    <w:rsid w:val="00972C99"/>
    <w:rsid w:val="009762B1"/>
    <w:rsid w:val="00991A9F"/>
    <w:rsid w:val="009B52A4"/>
    <w:rsid w:val="009C1A4F"/>
    <w:rsid w:val="009C3938"/>
    <w:rsid w:val="009D5F4D"/>
    <w:rsid w:val="009F5D68"/>
    <w:rsid w:val="00A4096B"/>
    <w:rsid w:val="00AB4DED"/>
    <w:rsid w:val="00AD2AF3"/>
    <w:rsid w:val="00AF14C7"/>
    <w:rsid w:val="00B020F5"/>
    <w:rsid w:val="00B03E12"/>
    <w:rsid w:val="00B22454"/>
    <w:rsid w:val="00B3766A"/>
    <w:rsid w:val="00B53C04"/>
    <w:rsid w:val="00B57096"/>
    <w:rsid w:val="00B66182"/>
    <w:rsid w:val="00BA4A63"/>
    <w:rsid w:val="00BB2A30"/>
    <w:rsid w:val="00BC62A2"/>
    <w:rsid w:val="00BF1864"/>
    <w:rsid w:val="00C333C6"/>
    <w:rsid w:val="00C53ABA"/>
    <w:rsid w:val="00C80135"/>
    <w:rsid w:val="00C80F19"/>
    <w:rsid w:val="00C930E1"/>
    <w:rsid w:val="00CA6D39"/>
    <w:rsid w:val="00CB1854"/>
    <w:rsid w:val="00D315E5"/>
    <w:rsid w:val="00D8034E"/>
    <w:rsid w:val="00D8306C"/>
    <w:rsid w:val="00D97445"/>
    <w:rsid w:val="00DF07A9"/>
    <w:rsid w:val="00E23058"/>
    <w:rsid w:val="00E5778F"/>
    <w:rsid w:val="00EA2212"/>
    <w:rsid w:val="00EB29E4"/>
    <w:rsid w:val="00EC3574"/>
    <w:rsid w:val="00EC4210"/>
    <w:rsid w:val="00EC52A7"/>
    <w:rsid w:val="00EC771F"/>
    <w:rsid w:val="00ED2693"/>
    <w:rsid w:val="00F521D0"/>
    <w:rsid w:val="00F556FF"/>
    <w:rsid w:val="00F66654"/>
    <w:rsid w:val="00F87072"/>
    <w:rsid w:val="00FB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2B11A"/>
  <w15:docId w15:val="{3348B872-3297-BF41-9462-7A971A4F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CB1854"/>
    <w:rPr>
      <w:sz w:val="16"/>
      <w:szCs w:val="16"/>
    </w:rPr>
  </w:style>
  <w:style w:type="paragraph" w:styleId="CommentText">
    <w:name w:val="annotation text"/>
    <w:basedOn w:val="Normal"/>
    <w:link w:val="CommentTextChar"/>
    <w:uiPriority w:val="99"/>
    <w:semiHidden/>
    <w:unhideWhenUsed/>
    <w:rsid w:val="00CB1854"/>
    <w:pPr>
      <w:spacing w:line="240" w:lineRule="auto"/>
    </w:pPr>
    <w:rPr>
      <w:sz w:val="20"/>
      <w:szCs w:val="20"/>
    </w:rPr>
  </w:style>
  <w:style w:type="character" w:customStyle="1" w:styleId="CommentTextChar">
    <w:name w:val="Comment Text Char"/>
    <w:basedOn w:val="DefaultParagraphFont"/>
    <w:link w:val="CommentText"/>
    <w:uiPriority w:val="99"/>
    <w:semiHidden/>
    <w:rsid w:val="00CB1854"/>
    <w:rPr>
      <w:sz w:val="20"/>
      <w:szCs w:val="20"/>
    </w:rPr>
  </w:style>
  <w:style w:type="paragraph" w:styleId="CommentSubject">
    <w:name w:val="annotation subject"/>
    <w:basedOn w:val="CommentText"/>
    <w:next w:val="CommentText"/>
    <w:link w:val="CommentSubjectChar"/>
    <w:uiPriority w:val="99"/>
    <w:semiHidden/>
    <w:unhideWhenUsed/>
    <w:rsid w:val="00CB1854"/>
    <w:rPr>
      <w:b/>
      <w:bCs/>
    </w:rPr>
  </w:style>
  <w:style w:type="character" w:customStyle="1" w:styleId="CommentSubjectChar">
    <w:name w:val="Comment Subject Char"/>
    <w:basedOn w:val="CommentTextChar"/>
    <w:link w:val="CommentSubject"/>
    <w:uiPriority w:val="99"/>
    <w:semiHidden/>
    <w:rsid w:val="00CB1854"/>
    <w:rPr>
      <w:b/>
      <w:bCs/>
      <w:sz w:val="20"/>
      <w:szCs w:val="20"/>
    </w:rPr>
  </w:style>
  <w:style w:type="paragraph" w:styleId="BalloonText">
    <w:name w:val="Balloon Text"/>
    <w:basedOn w:val="Normal"/>
    <w:link w:val="BalloonTextChar"/>
    <w:uiPriority w:val="99"/>
    <w:semiHidden/>
    <w:unhideWhenUsed/>
    <w:rsid w:val="00CB185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B1854"/>
    <w:rPr>
      <w:rFonts w:ascii="Arial" w:hAnsi="Arial" w:cs="Arial"/>
      <w:sz w:val="18"/>
      <w:szCs w:val="18"/>
    </w:rPr>
  </w:style>
  <w:style w:type="paragraph" w:styleId="Header">
    <w:name w:val="header"/>
    <w:basedOn w:val="Normal"/>
    <w:link w:val="HeaderChar"/>
    <w:uiPriority w:val="99"/>
    <w:unhideWhenUsed/>
    <w:rsid w:val="00B22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454"/>
  </w:style>
  <w:style w:type="paragraph" w:styleId="Footer">
    <w:name w:val="footer"/>
    <w:basedOn w:val="Normal"/>
    <w:link w:val="FooterChar"/>
    <w:uiPriority w:val="99"/>
    <w:unhideWhenUsed/>
    <w:rsid w:val="00B22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454"/>
  </w:style>
  <w:style w:type="paragraph" w:styleId="ListParagraph">
    <w:name w:val="List Paragraph"/>
    <w:basedOn w:val="Normal"/>
    <w:uiPriority w:val="34"/>
    <w:qFormat/>
    <w:rsid w:val="00E23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23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CBCBED6CE174CACE1F7B55A142EC7" ma:contentTypeVersion="2" ma:contentTypeDescription="Create a new document." ma:contentTypeScope="" ma:versionID="98d7059d828f5c7b1071e29bf642e872">
  <xsd:schema xmlns:xsd="http://www.w3.org/2001/XMLSchema" xmlns:xs="http://www.w3.org/2001/XMLSchema" xmlns:p="http://schemas.microsoft.com/office/2006/metadata/properties" xmlns:ns2="5a2f45c2-8d87-4bd4-9dc2-229dff0dc47d" targetNamespace="http://schemas.microsoft.com/office/2006/metadata/properties" ma:root="true" ma:fieldsID="70ca7305ece2bed158783b5fb778838e" ns2:_="">
    <xsd:import namespace="5a2f45c2-8d87-4bd4-9dc2-229dff0dc4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f45c2-8d87-4bd4-9dc2-229dff0dc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5EB63-FE69-4A5C-BF87-4B7FE364B2E4}"/>
</file>

<file path=customXml/itemProps2.xml><?xml version="1.0" encoding="utf-8"?>
<ds:datastoreItem xmlns:ds="http://schemas.openxmlformats.org/officeDocument/2006/customXml" ds:itemID="{83156F36-772D-4340-9412-03D090481B02}"/>
</file>

<file path=customXml/itemProps3.xml><?xml version="1.0" encoding="utf-8"?>
<ds:datastoreItem xmlns:ds="http://schemas.openxmlformats.org/officeDocument/2006/customXml" ds:itemID="{EB2E447E-F567-4095-9B98-A796C2EA3B4D}"/>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dc:creator>
  <cp:lastModifiedBy>Purvis, Jason</cp:lastModifiedBy>
  <cp:revision>2</cp:revision>
  <cp:lastPrinted>2022-06-30T15:34:00Z</cp:lastPrinted>
  <dcterms:created xsi:type="dcterms:W3CDTF">2022-08-30T10:54:00Z</dcterms:created>
  <dcterms:modified xsi:type="dcterms:W3CDTF">2022-08-30T10:54:00Z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b369a-307f-449b-a188-56348c6f1760_Enabled">
    <vt:lpwstr>true</vt:lpwstr>
  </property>
  <property fmtid="{D5CDD505-2E9C-101B-9397-08002B2CF9AE}" pid="3" name="MSIP_Label_d6fb369a-307f-449b-a188-56348c6f1760_SiteId">
    <vt:lpwstr>f93616dd-45a6-40c8-9e29-adab2fb5f25c</vt:lpwstr>
  </property>
  <property fmtid="{D5CDD505-2E9C-101B-9397-08002B2CF9AE}" pid="4" name="MSIP_Label_d6fb369a-307f-449b-a188-56348c6f1760_Owner">
    <vt:lpwstr>steven.conlan@serco.com</vt:lpwstr>
  </property>
  <property fmtid="{D5CDD505-2E9C-101B-9397-08002B2CF9AE}" pid="5" name="MSIP_Label_d6fb369a-307f-449b-a188-56348c6f1760_SetDate">
    <vt:lpwstr>2022-08-30T10:54:20Z</vt:lpwstr>
  </property>
  <property fmtid="{D5CDD505-2E9C-101B-9397-08002B2CF9AE}" pid="6" name="MSIP_Label_d6fb369a-307f-449b-a188-56348c6f1760_Name">
    <vt:lpwstr>d6fb369a-307f-449b-a188-56348c6f1760</vt:lpwstr>
  </property>
  <property fmtid="{D5CDD505-2E9C-101B-9397-08002B2CF9AE}" pid="7" name="MSIP_Label_d6fb369a-307f-449b-a188-56348c6f1760_Application">
    <vt:lpwstr>Microsoft Azure Information Protection</vt:lpwstr>
  </property>
  <property fmtid="{D5CDD505-2E9C-101B-9397-08002B2CF9AE}" pid="8" name="MSIP_Label_d6fb369a-307f-449b-a188-56348c6f1760_Parent">
    <vt:lpwstr>9052753f-f27f-4308-b0ca-90b591d58f16</vt:lpwstr>
  </property>
  <property fmtid="{D5CDD505-2E9C-101B-9397-08002B2CF9AE}" pid="9" name="MSIP_Label_d6fb369a-307f-449b-a188-56348c6f1760_Extended_MSFT_Method">
    <vt:lpwstr>Manual</vt:lpwstr>
  </property>
  <property fmtid="{D5CDD505-2E9C-101B-9397-08002B2CF9AE}" pid="10" name="MSIP_Label_d6fb369a-307f-449b-a188-56348c6f1760_Method">
    <vt:lpwstr>Privileged</vt:lpwstr>
  </property>
  <property fmtid="{D5CDD505-2E9C-101B-9397-08002B2CF9AE}" pid="11" name="MSIP_Label_d6fb369a-307f-449b-a188-56348c6f1760_ActionId">
    <vt:lpwstr>f46a730d-96fc-4f89-9134-2d74f0970b36</vt:lpwstr>
  </property>
  <property fmtid="{D5CDD505-2E9C-101B-9397-08002B2CF9AE}" pid="12" name="MSIP_Label_d6fb369a-307f-449b-a188-56348c6f1760_ContentBits">
    <vt:lpwstr>1</vt:lpwstr>
  </property>
  <property fmtid="{D5CDD505-2E9C-101B-9397-08002B2CF9AE}" pid="13" name="ContentTypeId">
    <vt:lpwstr>0x01010041BCBCBED6CE174CACE1F7B55A142EC7</vt:lpwstr>
  </property>
</Properties>
</file>